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Beacon Customer Feedback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Customer Success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Elena Rossi, VP Product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December 9, 2025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Beacon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Feedback summary</w:t>
      </w:r>
    </w:p>
    <w:p>
      <w:r>
        <w:rPr>
          <w:rFonts w:ascii="Calibri" w:hAnsi="Calibri"/>
          <w:b w:val="0"/>
          <w:i w:val="0"/>
          <w:color w:val="202124"/>
          <w:sz w:val="22"/>
        </w:rPr>
        <w:t>This document summarizes feedback from the fictional Beacon pilot customers Ridgeway Design Group, Pine Harbor Logistics, and HelioWorks Consulting. Customers describe Beacon as most useful when it gives a direct answer and also makes the supporting document easy to open.</w:t>
      </w:r>
    </w:p>
    <w:p>
      <w:pPr>
        <w:pStyle w:val="Heading1"/>
      </w:pPr>
      <w:r>
        <w:t>Common praise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Semantic search finds policies even when employees do not remember exact titles.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Source links reduce repeated questions to HR and operations teams.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Permission-aware results are easier for IT teams to approve.</w:t>
      </w:r>
    </w:p>
    <w:p>
      <w:pPr>
        <w:pStyle w:val="Heading1"/>
      </w:pPr>
      <w:r>
        <w:t>Common requests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600"/>
        <w:gridCol w:w="1200"/>
        <w:gridCol w:w="5560"/>
      </w:tblGrid>
      <w:tr>
        <w:trPr>
          <w:tblHeader w:val="true"/>
        </w:trPr>
        <w:tc>
          <w:tcPr>
            <w:tcW w:type="dxa" w:w="26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Request</w:t>
            </w:r>
          </w:p>
        </w:tc>
        <w:tc>
          <w:tcPr>
            <w:tcW w:type="dxa" w:w="12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Frequency</w:t>
            </w:r>
          </w:p>
        </w:tc>
        <w:tc>
          <w:tcPr>
            <w:tcW w:type="dxa" w:w="556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Product response</w:t>
            </w:r>
          </w:p>
        </w:tc>
      </w:tr>
      <w:tr>
        <w:tc>
          <w:tcPr>
            <w:tcW w:type="dxa" w:w="2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Teams chat integration</w:t>
            </w:r>
          </w:p>
        </w:tc>
        <w:tc>
          <w:tcPr>
            <w:tcW w:type="dxa" w:w="12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High</w:t>
            </w:r>
          </w:p>
        </w:tc>
        <w:tc>
          <w:tcPr>
            <w:tcW w:type="dxa" w:w="55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Design partner pilot planned for Q2 2026.</w:t>
            </w:r>
          </w:p>
        </w:tc>
      </w:tr>
      <w:tr>
        <w:tc>
          <w:tcPr>
            <w:tcW w:type="dxa" w:w="26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Pinned trusted answers</w:t>
            </w:r>
          </w:p>
        </w:tc>
        <w:tc>
          <w:tcPr>
            <w:tcW w:type="dxa" w:w="12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High</w:t>
            </w:r>
          </w:p>
        </w:tc>
        <w:tc>
          <w:tcPr>
            <w:tcW w:type="dxa" w:w="55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Admin feature planned for Q3 2026.</w:t>
            </w:r>
          </w:p>
        </w:tc>
      </w:tr>
      <w:tr>
        <w:tc>
          <w:tcPr>
            <w:tcW w:type="dxa" w:w="2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Search analytics dashboard</w:t>
            </w:r>
          </w:p>
        </w:tc>
        <w:tc>
          <w:tcPr>
            <w:tcW w:type="dxa" w:w="12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Medium</w:t>
            </w:r>
          </w:p>
        </w:tc>
        <w:tc>
          <w:tcPr>
            <w:tcW w:type="dxa" w:w="55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Beta reporting planned for Q2 2026.</w:t>
            </w:r>
          </w:p>
        </w:tc>
      </w:tr>
      <w:tr>
        <w:tc>
          <w:tcPr>
            <w:tcW w:type="dxa" w:w="26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Multilingual summaries</w:t>
            </w:r>
          </w:p>
        </w:tc>
        <w:tc>
          <w:tcPr>
            <w:tcW w:type="dxa" w:w="12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Medium</w:t>
            </w:r>
          </w:p>
        </w:tc>
        <w:tc>
          <w:tcPr>
            <w:tcW w:type="dxa" w:w="55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Discovery work scheduled for Q4 2026.</w:t>
            </w:r>
          </w:p>
        </w:tc>
      </w:tr>
      <w:tr>
        <w:tc>
          <w:tcPr>
            <w:tcW w:type="dxa" w:w="2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Automatic duplicate detection</w:t>
            </w:r>
          </w:p>
        </w:tc>
        <w:tc>
          <w:tcPr>
            <w:tcW w:type="dxa" w:w="12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Low</w:t>
            </w:r>
          </w:p>
        </w:tc>
        <w:tc>
          <w:tcPr>
            <w:tcW w:type="dxa" w:w="55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Research item; not committed.</w:t>
            </w:r>
          </w:p>
        </w:tc>
      </w:tr>
    </w:tbl>
    <w:p>
      <w:pPr>
        <w:pStyle w:val="Heading1"/>
      </w:pPr>
      <w:r>
        <w:t>Next steps</w:t>
      </w:r>
    </w:p>
    <w:p>
      <w:r>
        <w:rPr>
          <w:rFonts w:ascii="Calibri" w:hAnsi="Calibri"/>
          <w:b w:val="0"/>
          <w:i w:val="0"/>
          <w:color w:val="202124"/>
          <w:sz w:val="22"/>
        </w:rPr>
        <w:t>Elena Rossi will review roadmap trade-offs monthly. Priya Shah will use the permission-aware search message in launch materials. Sarah Kim will test Beacon against the employee SOP library before broader internal rollout.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19C1D2-2282-486D-B770-05EA9A5CCE69}"/>
</file>

<file path=customXml/itemProps3.xml><?xml version="1.0" encoding="utf-8"?>
<ds:datastoreItem xmlns:ds="http://schemas.openxmlformats.org/officeDocument/2006/customXml" ds:itemID="{D46A5289-0953-4AE8-8C29-49A6D11A8324}"/>
</file>

<file path=customXml/itemProps4.xml><?xml version="1.0" encoding="utf-8"?>
<ds:datastoreItem xmlns:ds="http://schemas.openxmlformats.org/officeDocument/2006/customXml" ds:itemID="{4FF44B6E-D7B0-4E2A-B63E-04380B438E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